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AA58EA">
        <w:tc>
          <w:tcPr>
            <w:tcW w:w="19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66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58EA" w:rsidRDefault="00A118C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sz w:val="24"/>
                <w:szCs w:val="20"/>
              </w:rPr>
            </w:pPr>
            <w:r>
              <w:rPr>
                <w:rFonts w:ascii="Arial" w:hAnsi="Arial" w:cs="Arial"/>
                <w:b/>
                <w:caps/>
                <w:sz w:val="24"/>
                <w:szCs w:val="20"/>
              </w:rPr>
              <w:t>Ekonomika prometa</w:t>
            </w:r>
          </w:p>
        </w:tc>
      </w:tr>
      <w:tr w:rsidR="00AA58E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spacing w:after="0" w:line="240" w:lineRule="auto"/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EUEB03</w:t>
            </w:r>
          </w:p>
        </w:tc>
        <w:tc>
          <w:tcPr>
            <w:tcW w:w="2288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A58EA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spacing w:after="0" w:line="240" w:lineRule="auto"/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Doc.dr.sc. Blanka Šimundić</w:t>
            </w:r>
          </w:p>
        </w:tc>
        <w:tc>
          <w:tcPr>
            <w:tcW w:w="2288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A58EA">
        <w:trPr>
          <w:trHeight w:val="345"/>
        </w:trPr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Prof.dr.sc. Željko Mrnjavac</w:t>
            </w:r>
          </w:p>
          <w:p w:rsidR="00310931" w:rsidRDefault="0031093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Doc.dr.sc. Lana Kordić</w:t>
            </w: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58EA" w:rsidRDefault="00A118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58EA" w:rsidRDefault="00A118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58EA" w:rsidRDefault="00A118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AA58EA">
        <w:trPr>
          <w:trHeight w:val="345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58EA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58EA" w:rsidRPr="00A350EB" w:rsidRDefault="00A350EB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 w:rsidRPr="00A350EB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30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58EA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8EA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30 %</w:t>
            </w:r>
          </w:p>
        </w:tc>
      </w:tr>
      <w:tr w:rsidR="00AA58EA">
        <w:tc>
          <w:tcPr>
            <w:tcW w:w="9464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AA58EA"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8EA" w:rsidRDefault="00A118C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Glavni cilj predmeta je osigurati studentima stjecanje vještina i sposobnosti za razumijevanje funkcioniranja prometnog sustava i uloge države u optimalizaciji rješenja u području svih elemenata prometnog sustava.</w:t>
            </w:r>
          </w:p>
        </w:tc>
      </w:tr>
      <w:tr w:rsidR="00AA58EA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8EA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AA58EA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F1284" w:rsidRPr="00AF1284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1284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AF1284" w:rsidRPr="00AF1284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1284">
              <w:rPr>
                <w:rFonts w:ascii="Arial" w:hAnsi="Arial" w:cs="Arial"/>
                <w:sz w:val="20"/>
                <w:szCs w:val="20"/>
              </w:rPr>
              <w:t xml:space="preserve">Polaznik će kroz </w:t>
            </w:r>
            <w:r>
              <w:rPr>
                <w:rFonts w:ascii="Arial" w:hAnsi="Arial" w:cs="Arial"/>
                <w:sz w:val="20"/>
                <w:szCs w:val="20"/>
              </w:rPr>
              <w:t xml:space="preserve">ovaj predmet integrirati </w:t>
            </w:r>
            <w:r w:rsidRPr="00AF1284">
              <w:rPr>
                <w:rFonts w:ascii="Arial" w:hAnsi="Arial" w:cs="Arial"/>
                <w:sz w:val="20"/>
                <w:szCs w:val="20"/>
              </w:rPr>
              <w:t>teorijske i empirijske spoznaje o pojavnosti i načinu funkcioniranja prometnog sustava te će moći analizirati razvojne trendove, te mjere i aktivnosti usmjerene optimalizaciji r</w:t>
            </w:r>
            <w:r>
              <w:rPr>
                <w:rFonts w:ascii="Arial" w:hAnsi="Arial" w:cs="Arial"/>
                <w:sz w:val="20"/>
                <w:szCs w:val="20"/>
              </w:rPr>
              <w:t>ješenja u području prometnog sustava</w:t>
            </w:r>
            <w:r w:rsidRPr="00AF128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F1284" w:rsidRPr="00AF1284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AF1284" w:rsidRPr="00AF1284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1284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:rsidR="00AF1284" w:rsidRPr="00AF1284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1284">
              <w:rPr>
                <w:rFonts w:ascii="Arial" w:hAnsi="Arial" w:cs="Arial"/>
                <w:sz w:val="20"/>
                <w:szCs w:val="20"/>
              </w:rPr>
              <w:t>Polaznik će:</w:t>
            </w:r>
          </w:p>
          <w:p w:rsidR="00AF1284" w:rsidRPr="00AF1284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Pr="00AF1284">
              <w:rPr>
                <w:rFonts w:ascii="Arial" w:hAnsi="Arial" w:cs="Arial"/>
                <w:sz w:val="20"/>
                <w:szCs w:val="20"/>
              </w:rPr>
              <w:t>Identificirati međuovisnosti gospodarskih i prometnih aktivnosti</w:t>
            </w:r>
          </w:p>
          <w:p w:rsidR="00AF1284" w:rsidRPr="00AF1284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  <w:r w:rsidRPr="00AF1284">
              <w:rPr>
                <w:rFonts w:ascii="Arial" w:hAnsi="Arial" w:cs="Arial"/>
                <w:sz w:val="20"/>
                <w:szCs w:val="20"/>
              </w:rPr>
              <w:t>Komentirati razvojne uloge prijevoza i komunikacija s različitih motrišta</w:t>
            </w:r>
          </w:p>
          <w:p w:rsidR="00AF1284" w:rsidRPr="00AF1284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  <w:r w:rsidRPr="00AF1284">
              <w:rPr>
                <w:rFonts w:ascii="Arial" w:hAnsi="Arial" w:cs="Arial"/>
                <w:sz w:val="20"/>
                <w:szCs w:val="20"/>
              </w:rPr>
              <w:t>Ustanoviti i analizirati sinergijske efekte između prometa i turizma</w:t>
            </w:r>
          </w:p>
          <w:p w:rsidR="00AA58EA" w:rsidRPr="00AF1284" w:rsidRDefault="00AF1284" w:rsidP="00AF1284">
            <w:pPr>
              <w:spacing w:after="0" w:line="240" w:lineRule="auto"/>
              <w:ind w:left="148" w:hanging="14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  <w:r w:rsidRPr="00AF1284">
              <w:rPr>
                <w:rFonts w:ascii="Arial" w:hAnsi="Arial" w:cs="Arial"/>
                <w:sz w:val="20"/>
                <w:szCs w:val="20"/>
              </w:rPr>
              <w:t xml:space="preserve">Utvrditi aktualne mjere prometne politike te ih komentirati u skladu s ekonomskom teorijom i </w:t>
            </w:r>
            <w:r>
              <w:rPr>
                <w:rFonts w:ascii="Arial" w:hAnsi="Arial" w:cs="Arial"/>
                <w:sz w:val="20"/>
                <w:szCs w:val="20"/>
              </w:rPr>
              <w:t>međunarodnom ekonomskom praksom</w:t>
            </w:r>
          </w:p>
        </w:tc>
      </w:tr>
      <w:tr w:rsidR="00AA58EA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tbl>
            <w:tblPr>
              <w:tblW w:w="7352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3667"/>
              <w:gridCol w:w="3685"/>
            </w:tblGrid>
            <w:tr w:rsidR="00AA58EA" w:rsidTr="00776500">
              <w:trPr>
                <w:cantSplit/>
                <w:trHeight w:val="282"/>
              </w:trPr>
              <w:tc>
                <w:tcPr>
                  <w:tcW w:w="3667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118C8">
                  <w:pPr>
                    <w:spacing w:before="40" w:after="4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5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118C8">
                  <w:pPr>
                    <w:spacing w:before="40" w:after="4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Vježbe</w:t>
                  </w:r>
                </w:p>
              </w:tc>
            </w:tr>
            <w:tr w:rsidR="00AA58EA" w:rsidTr="00776500">
              <w:trPr>
                <w:cantSplit/>
                <w:trHeight w:val="282"/>
              </w:trPr>
              <w:tc>
                <w:tcPr>
                  <w:tcW w:w="3667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118C8">
                  <w:pPr>
                    <w:spacing w:before="40" w:after="4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Dogovor o načinu rada</w:t>
                  </w:r>
                </w:p>
              </w:tc>
              <w:tc>
                <w:tcPr>
                  <w:tcW w:w="3685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118C8">
                  <w:pPr>
                    <w:spacing w:before="40" w:after="4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Podjela seminarskih i projektnih zadataka studentima/studentskim timovima</w:t>
                  </w:r>
                </w:p>
              </w:tc>
            </w:tr>
            <w:tr w:rsidR="00AA58EA" w:rsidTr="00776500">
              <w:trPr>
                <w:cantSplit/>
                <w:trHeight w:val="270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118C8">
                  <w:pPr>
                    <w:spacing w:before="40" w:after="4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Teorijske osnove ekonomike prometa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118C8">
                  <w:pPr>
                    <w:spacing w:before="40" w:after="4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Teorijske osnove analize troškova i koristi ulaganja u infrastrukturne projekte</w:t>
                  </w:r>
                </w:p>
              </w:tc>
            </w:tr>
            <w:tr w:rsidR="00AA58EA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A58EA">
                  <w:pPr>
                    <w:spacing w:before="40" w:after="4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A58EA">
                  <w:pPr>
                    <w:spacing w:before="40" w:after="4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AA58EA" w:rsidTr="00776500">
              <w:trPr>
                <w:cantSplit/>
                <w:trHeight w:val="270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118C8">
                  <w:pPr>
                    <w:spacing w:before="40" w:after="4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Prometni sustav u gospodarskom sustavu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118C8">
                  <w:pPr>
                    <w:spacing w:before="40" w:after="4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Sadržaj izvještaja CBA: 1. Uvod </w:t>
                  </w:r>
                </w:p>
              </w:tc>
            </w:tr>
            <w:tr w:rsidR="00AA58EA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A58EA">
                  <w:pPr>
                    <w:spacing w:before="40" w:after="4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A58EA">
                  <w:pPr>
                    <w:spacing w:before="40" w:after="4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AA58EA" w:rsidTr="00776500">
              <w:trPr>
                <w:cantSplit/>
                <w:trHeight w:val="447"/>
              </w:trPr>
              <w:tc>
                <w:tcPr>
                  <w:tcW w:w="366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118C8">
                  <w:pPr>
                    <w:spacing w:before="40" w:after="4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Tržište, privatizacija i decentralizacija infrastrukture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118C8">
                  <w:pPr>
                    <w:spacing w:before="40" w:after="4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Sadržaj izvještaja CBA: 2. Identifikacija projekta</w:t>
                  </w:r>
                </w:p>
              </w:tc>
            </w:tr>
            <w:tr w:rsidR="00AA58EA" w:rsidTr="00776500">
              <w:trPr>
                <w:cantSplit/>
                <w:trHeight w:val="290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118C8">
                  <w:pPr>
                    <w:spacing w:before="40" w:after="4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Prometna infrastruktura kao dio gospodarstvene infrastrukture u Hrvatskoj – 1. dio / opći uvid u prometne sustave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118C8">
                  <w:pPr>
                    <w:spacing w:before="40" w:after="4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Sadržaj izvještaja CBA: 3. Analiza izvodljivosti i opcija te analiza utjecaja na okoliš</w:t>
                  </w:r>
                </w:p>
                <w:p w:rsidR="00AA58EA" w:rsidRDefault="00A118C8">
                  <w:pPr>
                    <w:spacing w:before="40" w:after="40" w:line="240" w:lineRule="auto"/>
                  </w:pPr>
                  <w:r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Zadatak: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seminarsko izlaganje </w:t>
                  </w:r>
                  <w:proofErr w:type="spellStart"/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studentata</w:t>
                  </w:r>
                  <w:proofErr w:type="spellEnd"/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/studentskih grupa na odabranu temu</w:t>
                  </w:r>
                </w:p>
              </w:tc>
            </w:tr>
            <w:tr w:rsidR="00AA58EA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A58EA">
                  <w:pPr>
                    <w:spacing w:before="40" w:after="4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A58EA">
                  <w:pPr>
                    <w:spacing w:before="40" w:after="4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AA58EA" w:rsidTr="00776500">
              <w:trPr>
                <w:cantSplit/>
                <w:trHeight w:val="290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118C8">
                  <w:pPr>
                    <w:spacing w:before="40" w:after="4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Prometna infrastruktura kao dio gospodarstvene infrastrukture u 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lastRenderedPageBreak/>
                    <w:t>Hrvatskoj – 2. dio / analiza djelatnosti prometa i funkcioniranja prometnih sustava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118C8">
                  <w:pPr>
                    <w:spacing w:before="40" w:after="40" w:line="240" w:lineRule="auto"/>
                  </w:pPr>
                  <w:r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lastRenderedPageBreak/>
                    <w:t>Praktična vježba 1: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Ocjenjivanje prva tri dijela CBA izvještaja – na primjeru 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lastRenderedPageBreak/>
                    <w:t>projekta ulaganja u cestovnu infrastrukturu</w:t>
                  </w:r>
                </w:p>
                <w:p w:rsidR="00AA58EA" w:rsidRDefault="00A118C8">
                  <w:pPr>
                    <w:spacing w:before="40" w:after="40" w:line="240" w:lineRule="auto"/>
                  </w:pPr>
                  <w:r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Zadatak: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seminarsko izlaganje </w:t>
                  </w:r>
                  <w:proofErr w:type="spellStart"/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studentata</w:t>
                  </w:r>
                  <w:proofErr w:type="spellEnd"/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/studentskih grupa na odabranu temu</w:t>
                  </w:r>
                </w:p>
              </w:tc>
            </w:tr>
            <w:tr w:rsidR="00AA58EA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A58EA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A58EA">
                  <w:pPr>
                    <w:spacing w:before="40" w:after="4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AA58EA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A58EA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A58EA">
                  <w:pPr>
                    <w:spacing w:before="40" w:after="4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AA58EA" w:rsidTr="00776500">
              <w:trPr>
                <w:cantSplit/>
                <w:trHeight w:val="295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118C8">
                  <w:pPr>
                    <w:spacing w:before="40" w:after="4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lastRenderedPageBreak/>
                    <w:t>Globalizacija i prometna tržišta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118C8">
                  <w:pPr>
                    <w:spacing w:before="40" w:after="4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Sadržaj izvještaja CBA: 4. Financijska analiza</w:t>
                  </w:r>
                </w:p>
                <w:p w:rsidR="00AA58EA" w:rsidRDefault="00A118C8">
                  <w:pPr>
                    <w:spacing w:before="40" w:after="40" w:line="240" w:lineRule="auto"/>
                  </w:pPr>
                  <w:r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Zadatak: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seminarsko izlaganje </w:t>
                  </w:r>
                  <w:proofErr w:type="spellStart"/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studentata</w:t>
                  </w:r>
                  <w:proofErr w:type="spellEnd"/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/studentskih grupa na odabranu temu</w:t>
                  </w:r>
                </w:p>
              </w:tc>
            </w:tr>
            <w:tr w:rsidR="00AA58EA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A58EA">
                  <w:pPr>
                    <w:spacing w:before="40" w:after="4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A58EA">
                  <w:pPr>
                    <w:spacing w:before="40" w:after="4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AA58EA" w:rsidTr="00776500">
              <w:trPr>
                <w:cantSplit/>
                <w:trHeight w:val="1614"/>
              </w:trPr>
              <w:tc>
                <w:tcPr>
                  <w:tcW w:w="366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118C8">
                  <w:pPr>
                    <w:spacing w:before="40" w:after="4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Logistička uloga prometa i održivi razvoj 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118C8">
                  <w:pPr>
                    <w:spacing w:before="40" w:after="40" w:line="240" w:lineRule="auto"/>
                  </w:pPr>
                  <w:r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Praktična vježba 2: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Ocjenjivanje prva 4 dijela CBA izvještaja – na primjeru projekta ulaganja u cestovnu infrastrukturu</w:t>
                  </w:r>
                </w:p>
                <w:p w:rsidR="00AA58EA" w:rsidRDefault="00A118C8">
                  <w:pPr>
                    <w:spacing w:before="40" w:after="40" w:line="240" w:lineRule="auto"/>
                  </w:pPr>
                  <w:r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Zadatak: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seminarsko izlaganje </w:t>
                  </w:r>
                  <w:proofErr w:type="spellStart"/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studentata</w:t>
                  </w:r>
                  <w:proofErr w:type="spellEnd"/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/studentskih grupa na odabranu temu</w:t>
                  </w:r>
                </w:p>
              </w:tc>
            </w:tr>
            <w:tr w:rsidR="00AA58EA" w:rsidTr="00776500">
              <w:trPr>
                <w:cantSplit/>
                <w:trHeight w:val="290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118C8">
                  <w:pPr>
                    <w:spacing w:before="40" w:after="4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Globalni izazovi prometnoj strategiji i politici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118C8">
                  <w:pPr>
                    <w:spacing w:before="40" w:after="40" w:line="240" w:lineRule="auto"/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Sadržaj izvještaja CBA: 5. i 6. Ekonomska analiza i analiza rizika</w:t>
                  </w:r>
                  <w:r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  <w:p w:rsidR="00AA58EA" w:rsidRDefault="00A118C8">
                  <w:pPr>
                    <w:spacing w:before="40" w:after="40" w:line="240" w:lineRule="auto"/>
                  </w:pPr>
                  <w:r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Praktična vježba 3: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Ocjenjivanje cjelokupnog CBA izvještaja – na primjeru projekta ulaganja u cestovnu infrastrukturu</w:t>
                  </w:r>
                </w:p>
              </w:tc>
            </w:tr>
            <w:tr w:rsidR="00AA58EA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A58EA">
                  <w:pPr>
                    <w:spacing w:before="40" w:after="4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A58EA">
                  <w:pPr>
                    <w:spacing w:before="40" w:after="4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AA58EA" w:rsidTr="00776500">
              <w:trPr>
                <w:cantSplit/>
                <w:trHeight w:val="290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118C8">
                  <w:pPr>
                    <w:spacing w:before="40" w:after="4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Promet i turizam – 1. dio: suvremeni pristup analizi odnosa prometa i turizma 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118C8">
                  <w:pPr>
                    <w:spacing w:before="40" w:after="40" w:line="240" w:lineRule="auto"/>
                  </w:pPr>
                  <w:r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Praktična vježba 4: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nastavak: Ocjenjivanje cjelokupnog CBA izvještaja – na primjeru projekta ulaganja u cestovnu infrastrukturu</w:t>
                  </w:r>
                  <w:r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 xml:space="preserve"> Zadatak: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seminarsko izlaganje </w:t>
                  </w:r>
                  <w:proofErr w:type="spellStart"/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studentata</w:t>
                  </w:r>
                  <w:proofErr w:type="spellEnd"/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/studentskih grupa na odabranu temu</w:t>
                  </w:r>
                </w:p>
              </w:tc>
            </w:tr>
            <w:tr w:rsidR="00AA58EA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A58EA">
                  <w:pPr>
                    <w:spacing w:before="40" w:after="4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A58EA">
                  <w:pPr>
                    <w:spacing w:before="40" w:after="4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AA58EA" w:rsidTr="00776500">
              <w:trPr>
                <w:cantSplit/>
                <w:trHeight w:val="509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A58EA" w:rsidRDefault="00A118C8"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Promet i turizam – 2. dio: analiza potražnje za prometnom uslugom koja je inducirana turističkom potražnjom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118C8">
                  <w:pPr>
                    <w:spacing w:before="40" w:after="40" w:line="240" w:lineRule="auto"/>
                  </w:pPr>
                  <w:r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Zadatak: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grupno izlaganje rezultata CBA analize za odabranu studiju izvodljivosti</w:t>
                  </w:r>
                </w:p>
              </w:tc>
            </w:tr>
            <w:tr w:rsidR="00AA58EA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A58EA" w:rsidRDefault="00AA58EA">
                  <w:pPr>
                    <w:spacing w:before="40" w:after="4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A58EA">
                  <w:pPr>
                    <w:spacing w:before="40" w:after="4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AA58EA" w:rsidTr="00776500">
              <w:trPr>
                <w:cantSplit/>
                <w:trHeight w:val="1179"/>
              </w:trPr>
              <w:tc>
                <w:tcPr>
                  <w:tcW w:w="366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A58EA" w:rsidRDefault="00A118C8"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Promet i turizam – 3. dio: analiza dostupnosti prometne usluge i upravljanja prometnom uslugom koja je dio turističkog proizvoda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A58EA" w:rsidRDefault="00A118C8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Zadatak: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grupno izlaganje rezultata CBA analize za odabranu studiju izvodljivosti</w:t>
                  </w:r>
                </w:p>
              </w:tc>
            </w:tr>
            <w:tr w:rsidR="00AA58EA" w:rsidTr="00776500">
              <w:trPr>
                <w:cantSplit/>
                <w:trHeight w:val="459"/>
              </w:trPr>
              <w:tc>
                <w:tcPr>
                  <w:tcW w:w="366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A58EA" w:rsidRDefault="00A118C8"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Promet i turizam – 4. dio: analiza prometne infrastrukture kao dijela turističkog proizvoda s aspekta dostupnosti i vlasništva nad prometnom infrastrukturom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A58EA" w:rsidRDefault="00A118C8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Zadatak: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grupno izlaganje rezultata CBA analize za odabranu studiju izvodljivosti</w:t>
                  </w:r>
                </w:p>
              </w:tc>
            </w:tr>
            <w:tr w:rsidR="00AA58EA" w:rsidTr="00776500">
              <w:trPr>
                <w:cantSplit/>
                <w:trHeight w:val="444"/>
              </w:trPr>
              <w:tc>
                <w:tcPr>
                  <w:tcW w:w="366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118C8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Prometna politika Hrvatske i Europske unije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A58EA" w:rsidRDefault="00A118C8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Zadatak: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grupno izlaganje rezultata CBA analize za odabranu studiju izvodljivosti</w:t>
                  </w:r>
                </w:p>
              </w:tc>
            </w:tr>
            <w:tr w:rsidR="00AA58EA" w:rsidTr="00776500">
              <w:trPr>
                <w:cantSplit/>
                <w:trHeight w:val="354"/>
              </w:trPr>
              <w:tc>
                <w:tcPr>
                  <w:tcW w:w="366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118C8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Rekapitulacija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58EA" w:rsidRDefault="00A118C8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Zaključna razmatranja i konačni rezultati</w:t>
                  </w:r>
                </w:p>
              </w:tc>
            </w:tr>
          </w:tbl>
          <w:p w:rsidR="00AA58EA" w:rsidRDefault="00AA58EA">
            <w:pPr>
              <w:tabs>
                <w:tab w:val="left" w:pos="2820"/>
              </w:tabs>
              <w:spacing w:after="0"/>
              <w:rPr>
                <w:color w:val="FF0000"/>
              </w:rPr>
            </w:pPr>
          </w:p>
        </w:tc>
      </w:tr>
      <w:tr w:rsidR="00AA58EA">
        <w:trPr>
          <w:trHeight w:val="349"/>
        </w:trPr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pStyle w:val="FieldText"/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✓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:rsidR="00AA58EA" w:rsidRDefault="00A118C8">
            <w:pPr>
              <w:pStyle w:val="FieldText"/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✓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</w:t>
            </w:r>
          </w:p>
          <w:p w:rsidR="00AA58EA" w:rsidRDefault="00A118C8">
            <w:pPr>
              <w:pStyle w:val="FieldText"/>
            </w:pPr>
            <w:r>
              <w:rPr>
                <w:rFonts w:ascii="MS Gothic" w:eastAsia="MS Gothic" w:hAnsi="MS Gothic" w:cs="Arial"/>
                <w:b w:val="0"/>
                <w:color w:val="FF0000"/>
                <w:sz w:val="20"/>
                <w:szCs w:val="20"/>
                <w:lang w:val="hr-HR"/>
              </w:rPr>
              <w:t>✓</w:t>
            </w:r>
            <w:r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 xml:space="preserve"> vježbe </w:t>
            </w:r>
          </w:p>
          <w:p w:rsidR="00AA58EA" w:rsidRDefault="00A118C8">
            <w:pPr>
              <w:pStyle w:val="FieldText"/>
            </w:pPr>
            <w:r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AA58EA" w:rsidRDefault="00A118C8">
            <w:pPr>
              <w:pStyle w:val="FieldText"/>
            </w:pPr>
            <w:r>
              <w:rPr>
                <w:rFonts w:ascii="MS Gothic" w:eastAsia="MS Gothic" w:hAnsi="MS Gothic" w:cs="Arial"/>
                <w:b w:val="0"/>
                <w:color w:val="FF0000"/>
                <w:sz w:val="20"/>
                <w:szCs w:val="20"/>
                <w:lang w:val="hr-HR"/>
              </w:rPr>
              <w:t>✓</w:t>
            </w:r>
            <w:r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 xml:space="preserve"> mješovito e-učenje</w:t>
            </w:r>
          </w:p>
          <w:p w:rsidR="00AA58EA" w:rsidRDefault="00A118C8">
            <w:pPr>
              <w:tabs>
                <w:tab w:val="left" w:pos="2820"/>
              </w:tabs>
              <w:spacing w:after="0"/>
            </w:pPr>
            <w:r>
              <w:rPr>
                <w:rFonts w:ascii="Arial" w:eastAsia="MS Gothic" w:hAnsi="Arial" w:cs="Arial"/>
                <w:sz w:val="20"/>
                <w:szCs w:val="20"/>
              </w:rPr>
              <w:lastRenderedPageBreak/>
              <w:t>☐</w:t>
            </w:r>
            <w:r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pStyle w:val="FieldText"/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lastRenderedPageBreak/>
              <w:t>✓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zadaci</w:t>
            </w:r>
          </w:p>
          <w:p w:rsidR="00AA58EA" w:rsidRDefault="00A118C8">
            <w:pPr>
              <w:pStyle w:val="FieldText"/>
            </w:pPr>
            <w:r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AA58EA" w:rsidRDefault="00A118C8">
            <w:pPr>
              <w:pStyle w:val="FieldText"/>
            </w:pPr>
            <w:r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AA58EA" w:rsidRDefault="00A118C8">
            <w:pPr>
              <w:pStyle w:val="FieldText"/>
            </w:pPr>
            <w:r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AA58EA" w:rsidRDefault="00A118C8">
            <w:pPr>
              <w:tabs>
                <w:tab w:val="left" w:pos="2820"/>
              </w:tabs>
              <w:spacing w:after="0"/>
            </w:pPr>
            <w:r>
              <w:rPr>
                <w:rFonts w:ascii="Arial" w:eastAsia="MS Gothic" w:hAnsi="Arial" w:cs="Arial"/>
                <w:sz w:val="20"/>
                <w:szCs w:val="20"/>
              </w:rPr>
              <w:t>☐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</w:tr>
      <w:tr w:rsidR="00AA58EA">
        <w:trPr>
          <w:trHeight w:val="577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A58E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A58E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A58E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AA58EA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Student je obvezan pohađati i uredno pratiti nastavu i izvršavati postavljane zadatke. Tijekom semestra se vodi evidencija o prisustvovanju nastavi. Uvjeti za potpis: 70% pohađanja vježbi, izrada seminarskog rada na zadanu temu i projektnog zadatka.</w:t>
            </w:r>
          </w:p>
        </w:tc>
      </w:tr>
      <w:tr w:rsidR="00AA58E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tabs>
                <w:tab w:val="left" w:pos="2820"/>
              </w:tabs>
              <w:spacing w:after="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 ECTS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A58E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A58EA">
            <w:pPr>
              <w:pStyle w:val="FieldText"/>
            </w:pPr>
          </w:p>
        </w:tc>
      </w:tr>
      <w:tr w:rsidR="00AA58EA"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A58EA">
            <w:pPr>
              <w:numPr>
                <w:ilvl w:val="0"/>
                <w:numId w:val="1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pStyle w:val="FieldText"/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 ECTS</w:t>
            </w:r>
          </w:p>
        </w:tc>
        <w:tc>
          <w:tcPr>
            <w:tcW w:w="1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pStyle w:val="FieldText"/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pStyle w:val="FieldText"/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</w:p>
        </w:tc>
      </w:tr>
      <w:tr w:rsidR="00AA58EA"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A58EA">
            <w:pPr>
              <w:numPr>
                <w:ilvl w:val="0"/>
                <w:numId w:val="1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pStyle w:val="FieldText"/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pStyle w:val="FieldText"/>
            </w:pP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pStyle w:val="FieldText"/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pStyle w:val="FieldText"/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</w:p>
        </w:tc>
      </w:tr>
      <w:tr w:rsidR="00AA58EA"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A58EA">
            <w:pPr>
              <w:numPr>
                <w:ilvl w:val="0"/>
                <w:numId w:val="1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7B621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 ECTS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ECTS</w:t>
            </w:r>
          </w:p>
        </w:tc>
        <w:tc>
          <w:tcPr>
            <w:tcW w:w="1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tabs>
                <w:tab w:val="left" w:pos="2820"/>
              </w:tabs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tabs>
                <w:tab w:val="left" w:pos="2820"/>
              </w:tabs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AA58EA"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A58EA">
            <w:pPr>
              <w:numPr>
                <w:ilvl w:val="0"/>
                <w:numId w:val="1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tabs>
                <w:tab w:val="left" w:pos="2820"/>
              </w:tabs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tabs>
                <w:tab w:val="left" w:pos="2820"/>
              </w:tabs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1 ECTS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tabs>
                <w:tab w:val="left" w:pos="2820"/>
              </w:tabs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tabs>
                <w:tab w:val="left" w:pos="2820"/>
              </w:tabs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1,5 ECTS</w:t>
            </w:r>
          </w:p>
        </w:tc>
        <w:tc>
          <w:tcPr>
            <w:tcW w:w="1520" w:type="dxa"/>
            <w:gridSpan w:val="4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tabs>
                <w:tab w:val="left" w:pos="2820"/>
              </w:tabs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tabs>
                <w:tab w:val="left" w:pos="2820"/>
              </w:tabs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AA58EA"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8EA" w:rsidRDefault="00A118C8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Studenti tijekom semestra: </w:t>
            </w:r>
          </w:p>
          <w:p w:rsidR="00AA58EA" w:rsidRDefault="00A118C8">
            <w:pPr>
              <w:pStyle w:val="Default"/>
              <w:numPr>
                <w:ilvl w:val="0"/>
                <w:numId w:val="3"/>
              </w:numPr>
            </w:pPr>
            <w: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izlažu seminarski rad u okviru seminarske nastave</w:t>
            </w:r>
            <w:r w:rsidR="007B6216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/vježbi</w:t>
            </w:r>
            <w:bookmarkStart w:id="0" w:name="_GoBack"/>
            <w:bookmarkEnd w:id="0"/>
            <w: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 (ovisno o preferenciji studenata seminarski rad može biti grupni ili individualni) na dodijeljenu temu</w:t>
            </w:r>
          </w:p>
          <w:p w:rsidR="00AA58EA" w:rsidRDefault="00A118C8">
            <w:pPr>
              <w:pStyle w:val="Default"/>
              <w:numPr>
                <w:ilvl w:val="0"/>
                <w:numId w:val="3"/>
              </w:numPr>
            </w:pPr>
            <w: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pišu jedan</w:t>
            </w:r>
            <w:r w:rsidR="007B6216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 test</w:t>
            </w:r>
            <w: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 te </w:t>
            </w:r>
          </w:p>
          <w:p w:rsidR="00AA58EA" w:rsidRDefault="00A118C8">
            <w:pPr>
              <w:pStyle w:val="Default"/>
              <w:numPr>
                <w:ilvl w:val="0"/>
                <w:numId w:val="3"/>
              </w:numPr>
            </w:pP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izrađuju analizu projektnog zadatka s izlaganjem rezultata (projektni zadatak je grupni rad koji podrazumijeva analizu troškova i koristi ulaganja u prometnu infrastrukturu)</w:t>
            </w:r>
          </w:p>
          <w:p w:rsidR="00AA58EA" w:rsidRDefault="00A118C8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Položenim </w:t>
            </w:r>
            <w:r w:rsidR="007B6216">
              <w:rPr>
                <w:rFonts w:ascii="Arial" w:hAnsi="Arial" w:cs="Arial"/>
                <w:color w:val="auto"/>
                <w:sz w:val="20"/>
                <w:szCs w:val="20"/>
              </w:rPr>
              <w:t>testom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smatra se onaj s najmanje 50% točnih odgovora. </w:t>
            </w:r>
          </w:p>
          <w:p w:rsidR="00AA58EA" w:rsidRDefault="00A118C8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Način polaganja finalnog ispita: pismenim i usmenim putem.</w:t>
            </w:r>
          </w:p>
          <w:p w:rsidR="00AA58EA" w:rsidRDefault="00A118C8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Ukupna ocjena formira se ponderiranim rezultatima ostvarenim po zadacima: </w:t>
            </w:r>
          </w:p>
          <w:p w:rsidR="00AA58EA" w:rsidRDefault="00A118C8">
            <w:pPr>
              <w:pStyle w:val="Default"/>
              <w:numPr>
                <w:ilvl w:val="0"/>
                <w:numId w:val="3"/>
              </w:numPr>
            </w:pP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Prosječna ocjena položenog </w:t>
            </w:r>
            <w:r w:rsidR="007B6216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testa</w:t>
            </w: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množi se s ponderom 0.5,</w:t>
            </w:r>
          </w:p>
          <w:p w:rsidR="00AA58EA" w:rsidRDefault="00A118C8">
            <w:pPr>
              <w:pStyle w:val="Default"/>
              <w:numPr>
                <w:ilvl w:val="0"/>
                <w:numId w:val="3"/>
              </w:numPr>
            </w:pP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Prosječna ocjena iz predanog projektnog zadatka i izlaganja rezultata množi se s ponderom 0.3 i </w:t>
            </w:r>
          </w:p>
          <w:p w:rsidR="00AA58EA" w:rsidRDefault="00A118C8">
            <w:pPr>
              <w:pStyle w:val="Default"/>
              <w:numPr>
                <w:ilvl w:val="0"/>
                <w:numId w:val="3"/>
              </w:numPr>
            </w:pP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Prosječna ocjena iz izrađene seminarske prezentacije i seminarskog izlaganja množi se s ponderom 0.2.</w:t>
            </w:r>
          </w:p>
          <w:p w:rsidR="00AA58EA" w:rsidRDefault="00A118C8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Kod izlaska na finalni ispit:</w:t>
            </w:r>
          </w:p>
          <w:p w:rsidR="00AA58EA" w:rsidRDefault="00A118C8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Prosječne ocjene iz pismenog i usmenog ispita množe se s ponderom 0.3</w:t>
            </w:r>
          </w:p>
          <w:p w:rsidR="00AA58EA" w:rsidRDefault="00A118C8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Prosječna ocjena iz predanog projektnog zadatka i izlaganja rezultata množi se s ponderom 0.3 i </w:t>
            </w:r>
          </w:p>
          <w:p w:rsidR="00AA58EA" w:rsidRDefault="00A118C8">
            <w:pPr>
              <w:pStyle w:val="Default"/>
              <w:numPr>
                <w:ilvl w:val="0"/>
                <w:numId w:val="3"/>
              </w:numPr>
            </w:pP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Prosječna ocjena iz izrađene seminarske prezentacije i seminarskog izlaganja množi se s ponderom 0.1.</w:t>
            </w:r>
          </w:p>
          <w:p w:rsidR="00AA58EA" w:rsidRDefault="00A118C8">
            <w:pPr>
              <w:pStyle w:val="Default"/>
              <w:numPr>
                <w:ilvl w:val="0"/>
                <w:numId w:val="2"/>
              </w:num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Ljestvica ocjenjivanja: &lt;50 bodova = nedovoljan, 50-63 = dovoljan, 64-77 = dobar, 78-89 = vrlo dobar te 90-100=izvrstan.</w:t>
            </w:r>
          </w:p>
        </w:tc>
      </w:tr>
      <w:tr w:rsidR="00AA58EA">
        <w:tc>
          <w:tcPr>
            <w:tcW w:w="191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AA58EA">
        <w:trPr>
          <w:trHeight w:val="75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A58EA">
            <w:pPr>
              <w:numPr>
                <w:ilvl w:val="0"/>
                <w:numId w:val="4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8EA" w:rsidRDefault="00A118C8">
            <w:pPr>
              <w:tabs>
                <w:tab w:val="left" w:pos="2820"/>
              </w:tabs>
              <w:spacing w:after="0"/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Nastavni materijali i autorizirana predavanja dostupna na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8EA" w:rsidRDefault="00AA58E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8EA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AA58EA">
        <w:trPr>
          <w:trHeight w:val="75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A58EA">
            <w:pPr>
              <w:numPr>
                <w:ilvl w:val="0"/>
                <w:numId w:val="4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8EA" w:rsidRDefault="00A118C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Pašalić, Ž.: Promet i gospodarstveni razvoj: Prilozi teoriji i politici gospodarstvenog razvoja Hrvatske, Sveučilište u Splitu, Ekonomski fakultet, 2012.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8EA" w:rsidRDefault="00A118C8">
            <w:pPr>
              <w:tabs>
                <w:tab w:val="left" w:pos="2820"/>
              </w:tabs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8EA" w:rsidRDefault="00A118C8">
            <w:pPr>
              <w:tabs>
                <w:tab w:val="left" w:pos="2820"/>
              </w:tabs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AA58EA">
        <w:trPr>
          <w:trHeight w:val="75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A58EA">
            <w:pPr>
              <w:numPr>
                <w:ilvl w:val="0"/>
                <w:numId w:val="4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8EA" w:rsidRDefault="00A118C8">
            <w:pPr>
              <w:tabs>
                <w:tab w:val="left" w:pos="2820"/>
              </w:tabs>
              <w:spacing w:after="0"/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Poglavlja iz knjige Page,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S.J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. (2009.). Transport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and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Tourism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: Global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perspectives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, third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edition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Pearson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Education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Limited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Harlow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England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8EA" w:rsidRDefault="00AA58E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8EA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AA58EA"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AA58EA" w:rsidRDefault="00AA58E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8EA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Čavrak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, V.: Makroekonomski menadžment i strategija prometa Hrvatske, Politička kultura, Zagreb, 2003. </w:t>
            </w:r>
          </w:p>
          <w:p w:rsidR="00AA58EA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Padjen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, J.: Prometna politika Hrvatske, Masmedija, Zagreb, 2003. </w:t>
            </w:r>
          </w:p>
          <w:p w:rsidR="00AA58EA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Pašalić, Ž.: Osnove hrvatske gospodarstvene infrastrukture, Ekonomski fakultet Split, 1999. </w:t>
            </w:r>
          </w:p>
          <w:p w:rsidR="00AA58EA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Cole, S.: Applied Transport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Economics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Kogan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Page, London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Sterling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VA, 2006. </w:t>
            </w:r>
          </w:p>
          <w:p w:rsidR="00AA58EA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Zelenika, R.: Prometni sustav, Ekonomski fakultet Sveučilišta u Rijeci, Rijeka, 2001. </w:t>
            </w:r>
          </w:p>
          <w:p w:rsidR="00AA58EA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>Suvremeni Promet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Časopis Hrvatskog znanstvenog društva za promet, Zagreb. </w:t>
            </w:r>
          </w:p>
        </w:tc>
      </w:tr>
      <w:tr w:rsidR="00AA58EA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8EA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AA58EA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AA58EA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AA58EA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AA58EA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AA58EA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A58EA" w:rsidRDefault="00A118C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A58EA" w:rsidRDefault="00A118C8">
            <w:pPr>
              <w:tabs>
                <w:tab w:val="left" w:pos="2820"/>
              </w:tabs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</w:tbl>
    <w:p w:rsidR="00AA58EA" w:rsidRDefault="00AA58EA"/>
    <w:sectPr w:rsidR="00AA58EA" w:rsidSect="00F35FB3"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45A" w:rsidRDefault="0088145A">
      <w:pPr>
        <w:spacing w:after="0" w:line="240" w:lineRule="auto"/>
      </w:pPr>
      <w:r>
        <w:separator/>
      </w:r>
    </w:p>
  </w:endnote>
  <w:endnote w:type="continuationSeparator" w:id="0">
    <w:p w:rsidR="0088145A" w:rsidRDefault="00881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45A" w:rsidRDefault="0088145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88145A" w:rsidRDefault="008814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42535"/>
    <w:multiLevelType w:val="multilevel"/>
    <w:tmpl w:val="1C3A302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">
    <w:nsid w:val="3EB1601E"/>
    <w:multiLevelType w:val="multilevel"/>
    <w:tmpl w:val="54664870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>
    <w:nsid w:val="570075E2"/>
    <w:multiLevelType w:val="multilevel"/>
    <w:tmpl w:val="42E835FC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  <w:color w:val="000000"/>
      </w:rPr>
    </w:lvl>
  </w:abstractNum>
  <w:abstractNum w:abstractNumId="3">
    <w:nsid w:val="71BB625C"/>
    <w:multiLevelType w:val="multilevel"/>
    <w:tmpl w:val="843428CA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">
    <w:nsid w:val="732E03BA"/>
    <w:multiLevelType w:val="multilevel"/>
    <w:tmpl w:val="55749F9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58EA"/>
    <w:rsid w:val="0002207E"/>
    <w:rsid w:val="00235547"/>
    <w:rsid w:val="00310931"/>
    <w:rsid w:val="00551D7E"/>
    <w:rsid w:val="00776500"/>
    <w:rsid w:val="007B6216"/>
    <w:rsid w:val="0088145A"/>
    <w:rsid w:val="00A118C8"/>
    <w:rsid w:val="00A350EB"/>
    <w:rsid w:val="00AA58EA"/>
    <w:rsid w:val="00AF1284"/>
    <w:rsid w:val="00B246BE"/>
    <w:rsid w:val="00D82C39"/>
    <w:rsid w:val="00F35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35FB3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rsid w:val="00F35FB3"/>
    <w:pPr>
      <w:ind w:left="720"/>
    </w:pPr>
  </w:style>
  <w:style w:type="paragraph" w:customStyle="1" w:styleId="FieldText">
    <w:name w:val="Field Text"/>
    <w:basedOn w:val="Normal"/>
    <w:rsid w:val="00F35FB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rsid w:val="00F35FB3"/>
    <w:rPr>
      <w:rFonts w:cs="Times New Roman"/>
      <w:b/>
      <w:bCs/>
    </w:rPr>
  </w:style>
  <w:style w:type="paragraph" w:customStyle="1" w:styleId="Default">
    <w:name w:val="Default"/>
    <w:rsid w:val="00F35FB3"/>
    <w:pPr>
      <w:suppressAutoHyphens/>
      <w:autoSpaceDE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paragraph" w:styleId="BalloonText">
    <w:name w:val="Balloon Text"/>
    <w:basedOn w:val="Normal"/>
    <w:rsid w:val="00F35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sid w:val="00F35FB3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rsid w:val="00F35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rsid w:val="00F35FB3"/>
    <w:rPr>
      <w:rFonts w:ascii="Calibri" w:eastAsia="Calibri" w:hAnsi="Calibri" w:cs="Times New Roman"/>
    </w:rPr>
  </w:style>
  <w:style w:type="paragraph" w:styleId="Footer">
    <w:name w:val="footer"/>
    <w:basedOn w:val="Normal"/>
    <w:rsid w:val="00F35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rsid w:val="00F35FB3"/>
    <w:rPr>
      <w:rFonts w:ascii="Calibri" w:eastAsia="Calibri" w:hAnsi="Calibri" w:cs="Times New Roman"/>
    </w:rPr>
  </w:style>
  <w:style w:type="paragraph" w:styleId="Caption">
    <w:name w:val="caption"/>
    <w:basedOn w:val="Normal"/>
    <w:next w:val="Normal"/>
    <w:rsid w:val="00F35FB3"/>
    <w:pPr>
      <w:spacing w:line="240" w:lineRule="auto"/>
    </w:pPr>
    <w:rPr>
      <w:i/>
      <w:iCs/>
      <w:color w:val="44546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0BA72-4595-46E0-9FED-5B02A9312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1255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3</cp:revision>
  <cp:lastPrinted>2018-06-01T10:59:00Z</cp:lastPrinted>
  <dcterms:created xsi:type="dcterms:W3CDTF">2018-06-07T07:20:00Z</dcterms:created>
  <dcterms:modified xsi:type="dcterms:W3CDTF">2018-06-28T08:38:00Z</dcterms:modified>
</cp:coreProperties>
</file>